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8" w:rsidRDefault="000C54C8" w:rsidP="000C54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C54C8" w:rsidRDefault="000C54C8" w:rsidP="000C54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C54C8" w:rsidRDefault="000C54C8" w:rsidP="000C54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0C54C8" w:rsidRDefault="000C54C8" w:rsidP="000C54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СЕЛЬСКОГО ПОСЕЛЕНИЯ</w:t>
      </w:r>
    </w:p>
    <w:p w:rsidR="000C54C8" w:rsidRDefault="000C54C8" w:rsidP="000C54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ЧЕЛНО-ВЕРШИНЫ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Е К Т</w:t>
      </w:r>
    </w:p>
    <w:p w:rsidR="000C54C8" w:rsidRDefault="000C54C8" w:rsidP="000C54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</w:p>
    <w:p w:rsidR="000C54C8" w:rsidRDefault="000C54C8" w:rsidP="000C54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ЧЕЛНО-ВЕРШИНСКИЙ </w:t>
      </w:r>
    </w:p>
    <w:p w:rsidR="000C54C8" w:rsidRDefault="000C54C8" w:rsidP="000C54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САМАРСКОЙ ОБЛАСТИ</w:t>
      </w:r>
    </w:p>
    <w:p w:rsidR="000C54C8" w:rsidRDefault="000C54C8" w:rsidP="000C54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0C54C8" w:rsidRDefault="000C54C8" w:rsidP="000C54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C54C8">
        <w:rPr>
          <w:rFonts w:ascii="Times New Roman" w:hAnsi="Times New Roman"/>
          <w:b/>
          <w:sz w:val="28"/>
          <w:szCs w:val="28"/>
        </w:rPr>
        <w:t>РЕШЕНИЕ</w:t>
      </w:r>
    </w:p>
    <w:p w:rsidR="000C54C8" w:rsidRDefault="000C54C8" w:rsidP="000C54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№________</w:t>
      </w:r>
    </w:p>
    <w:p w:rsidR="000C54C8" w:rsidRDefault="000C54C8" w:rsidP="000C54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C54C8" w:rsidRDefault="000C54C8" w:rsidP="000C54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«О местных нормативах градостроительного проектирования </w:t>
      </w:r>
    </w:p>
    <w:p w:rsidR="000C54C8" w:rsidRDefault="000C54C8" w:rsidP="000C54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C54C8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C54C8" w:rsidRDefault="000C54C8" w:rsidP="000C54C8">
      <w:pPr>
        <w:rPr>
          <w:rFonts w:ascii="Times New Roman" w:hAnsi="Times New Roman"/>
          <w:b/>
          <w:sz w:val="20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области»</w:t>
      </w:r>
    </w:p>
    <w:p w:rsidR="000C54C8" w:rsidRDefault="000C54C8" w:rsidP="000C54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54C8" w:rsidRDefault="000C54C8" w:rsidP="000C54C8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соответствии со статьями 8, 29.4.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 г. № 90-ГД «О градостроительной деятельности на территории Самарской области», Уставом сельского </w:t>
      </w:r>
      <w:r w:rsidRPr="000C54C8">
        <w:rPr>
          <w:rFonts w:ascii="Times New Roman" w:hAnsi="Times New Roman"/>
          <w:sz w:val="28"/>
          <w:szCs w:val="28"/>
        </w:rPr>
        <w:t>поселения 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</w:t>
      </w:r>
      <w:r w:rsidRPr="000C54C8">
        <w:rPr>
          <w:rFonts w:ascii="Times New Roman" w:hAnsi="Times New Roman"/>
          <w:sz w:val="28"/>
          <w:szCs w:val="28"/>
        </w:rPr>
        <w:t>поселения 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0C54C8" w:rsidRDefault="000C54C8" w:rsidP="000C54C8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>РЕШИЛО:</w:t>
      </w:r>
    </w:p>
    <w:p w:rsidR="000C54C8" w:rsidRDefault="000C54C8" w:rsidP="000C54C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местные нормативы градостроительного проектирования сельского </w:t>
      </w:r>
      <w:r w:rsidRPr="000C54C8">
        <w:rPr>
          <w:rFonts w:ascii="Times New Roman" w:hAnsi="Times New Roman"/>
          <w:sz w:val="28"/>
          <w:szCs w:val="28"/>
        </w:rPr>
        <w:t>поселения Челно-Вершины 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области, согласно приложению к настоящему Решению.</w:t>
      </w:r>
    </w:p>
    <w:p w:rsidR="000C54C8" w:rsidRDefault="000C54C8" w:rsidP="000C54C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 xml:space="preserve"> на официальном сайте администрации сельского поселения </w:t>
      </w:r>
      <w:r w:rsidRPr="000C54C8">
        <w:rPr>
          <w:rFonts w:ascii="Times New Roman" w:hAnsi="Times New Roman"/>
          <w:sz w:val="28"/>
          <w:szCs w:val="28"/>
        </w:rPr>
        <w:t>Челно-Вершины</w:t>
      </w:r>
      <w:r w:rsidRPr="000C54C8"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proofErr w:type="spellStart"/>
      <w:r w:rsidRPr="000C54C8">
        <w:rPr>
          <w:rFonts w:ascii="Times New Roman" w:hAnsi="Times New Roman"/>
          <w:sz w:val="28"/>
          <w:szCs w:val="28"/>
          <w:lang w:eastAsia="en-IN"/>
        </w:rPr>
        <w:t>Челно-Вершинский</w:t>
      </w:r>
      <w:proofErr w:type="spellEnd"/>
      <w:r w:rsidRPr="000C54C8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</w:t>
      </w:r>
      <w:r w:rsidRPr="000C54C8">
        <w:rPr>
          <w:rFonts w:ascii="Times New Roman" w:hAnsi="Times New Roman"/>
          <w:sz w:val="28"/>
          <w:szCs w:val="28"/>
        </w:rPr>
        <w:t>.</w:t>
      </w:r>
    </w:p>
    <w:p w:rsidR="000C54C8" w:rsidRDefault="000C54C8" w:rsidP="000C54C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0C54C8" w:rsidRDefault="000C54C8" w:rsidP="000C54C8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0C54C8" w:rsidRDefault="000C54C8" w:rsidP="000C54C8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r w:rsidRPr="000C54C8">
        <w:rPr>
          <w:rFonts w:ascii="Times New Roman" w:hAnsi="Times New Roman"/>
          <w:sz w:val="28"/>
          <w:szCs w:val="28"/>
        </w:rPr>
        <w:t>поселения Челно-Вершины</w:t>
      </w:r>
    </w:p>
    <w:p w:rsidR="000C54C8" w:rsidRDefault="000C54C8" w:rsidP="000C54C8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C54C8" w:rsidRDefault="000C54C8" w:rsidP="000C54C8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С. 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0C54C8" w:rsidRDefault="000C54C8" w:rsidP="000C54C8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0C54C8" w:rsidRDefault="000C54C8" w:rsidP="000C54C8">
      <w:pPr>
        <w:ind w:right="-14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Председатель Собрания Представителей                                                  </w:t>
      </w:r>
    </w:p>
    <w:p w:rsidR="000C54C8" w:rsidRPr="000C54C8" w:rsidRDefault="000C54C8" w:rsidP="000C54C8">
      <w:pPr>
        <w:tabs>
          <w:tab w:val="left" w:pos="84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 w:rsidRPr="000C54C8">
        <w:rPr>
          <w:rFonts w:ascii="Times New Roman" w:hAnsi="Times New Roman"/>
          <w:sz w:val="28"/>
          <w:szCs w:val="28"/>
        </w:rPr>
        <w:t>Челно-Вершины</w:t>
      </w:r>
    </w:p>
    <w:p w:rsidR="000C54C8" w:rsidRDefault="000C54C8" w:rsidP="000C54C8">
      <w:pPr>
        <w:tabs>
          <w:tab w:val="left" w:pos="8460"/>
        </w:tabs>
        <w:rPr>
          <w:rFonts w:ascii="Times New Roman" w:hAnsi="Times New Roman"/>
          <w:sz w:val="28"/>
        </w:rPr>
      </w:pPr>
      <w:r w:rsidRPr="000C54C8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0C54C8">
        <w:rPr>
          <w:rFonts w:ascii="Times New Roman" w:hAnsi="Times New Roman"/>
          <w:sz w:val="28"/>
        </w:rPr>
        <w:t>Челно-Вершинский</w:t>
      </w:r>
      <w:proofErr w:type="spellEnd"/>
    </w:p>
    <w:p w:rsidR="000C54C8" w:rsidRDefault="000C54C8" w:rsidP="000C54C8">
      <w:pPr>
        <w:tabs>
          <w:tab w:val="left" w:pos="84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Самарской области                                                                              А. В. Буйволов</w:t>
      </w:r>
    </w:p>
    <w:p w:rsidR="000C54C8" w:rsidRDefault="000C54C8" w:rsidP="000C54C8">
      <w:pPr>
        <w:tabs>
          <w:tab w:val="left" w:pos="8460"/>
        </w:tabs>
        <w:jc w:val="right"/>
        <w:rPr>
          <w:rFonts w:ascii="Times New Roman" w:hAnsi="Times New Roman"/>
          <w:sz w:val="28"/>
          <w:szCs w:val="28"/>
        </w:rPr>
      </w:pPr>
    </w:p>
    <w:p w:rsidR="000C54C8" w:rsidRDefault="000C54C8" w:rsidP="000C54C8">
      <w:pPr>
        <w:tabs>
          <w:tab w:val="left" w:pos="8460"/>
        </w:tabs>
        <w:jc w:val="right"/>
        <w:rPr>
          <w:rFonts w:ascii="Times New Roman" w:hAnsi="Times New Roman"/>
          <w:sz w:val="28"/>
          <w:szCs w:val="28"/>
        </w:rPr>
      </w:pPr>
    </w:p>
    <w:p w:rsidR="000C54C8" w:rsidRDefault="000C54C8" w:rsidP="000C54C8">
      <w:pPr>
        <w:tabs>
          <w:tab w:val="left" w:pos="8460"/>
        </w:tabs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0C54C8" w:rsidRDefault="000C54C8" w:rsidP="000C54C8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Решению Собрания представителей </w:t>
      </w:r>
    </w:p>
    <w:p w:rsidR="000C54C8" w:rsidRDefault="000C54C8" w:rsidP="000C54C8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0C54C8">
        <w:rPr>
          <w:rFonts w:ascii="Times New Roman" w:hAnsi="Times New Roman"/>
          <w:sz w:val="28"/>
          <w:szCs w:val="28"/>
        </w:rPr>
        <w:t>Челно-Вершины</w:t>
      </w:r>
    </w:p>
    <w:p w:rsidR="000C54C8" w:rsidRDefault="000C54C8" w:rsidP="000C54C8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C54C8" w:rsidRDefault="000C54C8" w:rsidP="000C54C8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0C54C8" w:rsidRDefault="000C54C8" w:rsidP="000C54C8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№_______</w:t>
      </w:r>
    </w:p>
    <w:p w:rsidR="000C54C8" w:rsidRDefault="000C54C8" w:rsidP="000C54C8">
      <w:pPr>
        <w:jc w:val="right"/>
        <w:rPr>
          <w:rFonts w:ascii="Times New Roman" w:hAnsi="Times New Roman"/>
          <w:sz w:val="28"/>
          <w:szCs w:val="28"/>
        </w:rPr>
      </w:pPr>
    </w:p>
    <w:p w:rsidR="000C54C8" w:rsidRDefault="000C54C8" w:rsidP="000C54C8">
      <w:pPr>
        <w:rPr>
          <w:rFonts w:ascii="Times New Roman" w:hAnsi="Times New Roman"/>
          <w:sz w:val="28"/>
          <w:szCs w:val="28"/>
        </w:rPr>
      </w:pPr>
    </w:p>
    <w:p w:rsidR="000C54C8" w:rsidRDefault="000C54C8" w:rsidP="000C54C8">
      <w:pPr>
        <w:rPr>
          <w:rFonts w:ascii="Times New Roman" w:hAnsi="Times New Roman"/>
          <w:sz w:val="28"/>
          <w:szCs w:val="28"/>
        </w:rPr>
      </w:pPr>
    </w:p>
    <w:p w:rsidR="000C54C8" w:rsidRDefault="000C54C8" w:rsidP="000C54C8">
      <w:pPr>
        <w:jc w:val="center"/>
        <w:rPr>
          <w:rFonts w:ascii="Times New Roman" w:hAnsi="Times New Roman"/>
          <w:sz w:val="28"/>
          <w:szCs w:val="28"/>
        </w:rPr>
      </w:pPr>
      <w:r w:rsidRPr="000C54C8">
        <w:rPr>
          <w:rFonts w:ascii="Times New Roman" w:hAnsi="Times New Roman"/>
          <w:sz w:val="28"/>
          <w:szCs w:val="28"/>
        </w:rPr>
        <w:t xml:space="preserve">Местные нормативы градостроительного проектирования сельского поселения Челно-Вершины муниципального района </w:t>
      </w:r>
      <w:proofErr w:type="spellStart"/>
      <w:r w:rsidRPr="000C54C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C54C8">
        <w:rPr>
          <w:rFonts w:ascii="Times New Roman" w:hAnsi="Times New Roman"/>
          <w:sz w:val="28"/>
          <w:szCs w:val="28"/>
        </w:rPr>
        <w:t xml:space="preserve"> Самарской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0C54C8" w:rsidRDefault="000C54C8" w:rsidP="000C54C8">
      <w:pPr>
        <w:jc w:val="center"/>
        <w:rPr>
          <w:rFonts w:ascii="Times New Roman" w:hAnsi="Times New Roman"/>
          <w:sz w:val="28"/>
          <w:szCs w:val="28"/>
        </w:rPr>
      </w:pPr>
    </w:p>
    <w:p w:rsidR="000C54C8" w:rsidRDefault="000C54C8" w:rsidP="000C54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0C54C8" w:rsidRDefault="000C54C8" w:rsidP="000C54C8">
      <w:pPr>
        <w:rPr>
          <w:rFonts w:ascii="Times New Roman" w:hAnsi="Times New Roman"/>
          <w:sz w:val="28"/>
          <w:szCs w:val="28"/>
        </w:rPr>
      </w:pPr>
    </w:p>
    <w:p w:rsidR="000C54C8" w:rsidRDefault="000C54C8" w:rsidP="000C54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proofErr w:type="gramStart"/>
      <w:r w:rsidRPr="000C54C8">
        <w:rPr>
          <w:rFonts w:ascii="Times New Roman" w:hAnsi="Times New Roman"/>
          <w:sz w:val="28"/>
          <w:szCs w:val="28"/>
        </w:rPr>
        <w:t xml:space="preserve">Настоящие местные нормативы градостроительного проектирования сельского поселения Челно-Вершины муниципального района </w:t>
      </w:r>
      <w:proofErr w:type="spellStart"/>
      <w:r w:rsidRPr="000C54C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C54C8">
        <w:rPr>
          <w:rFonts w:ascii="Times New Roman" w:hAnsi="Times New Roman"/>
          <w:sz w:val="28"/>
          <w:szCs w:val="28"/>
        </w:rPr>
        <w:t xml:space="preserve"> Самарской области (далее также -</w:t>
      </w:r>
      <w:r>
        <w:rPr>
          <w:rFonts w:ascii="Times New Roman" w:hAnsi="Times New Roman"/>
          <w:sz w:val="28"/>
          <w:szCs w:val="28"/>
        </w:rPr>
        <w:t xml:space="preserve"> нормативы) разработаны в соответствии с положениями статей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области" и устанавливают:</w:t>
      </w:r>
    </w:p>
    <w:p w:rsidR="000C54C8" w:rsidRDefault="000C54C8" w:rsidP="000C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r w:rsidRPr="000C54C8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0C54C8" w:rsidRDefault="000C54C8" w:rsidP="000C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Настоящие нормативы включают в себя:</w:t>
      </w:r>
    </w:p>
    <w:p w:rsidR="000C54C8" w:rsidRDefault="000C54C8" w:rsidP="000C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(расчетные показатели, указанные в абзаце втором пункта 1.1 настоящих нормативов);</w:t>
      </w:r>
    </w:p>
    <w:p w:rsidR="000C54C8" w:rsidRDefault="000C54C8" w:rsidP="000C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0C54C8" w:rsidRDefault="000C54C8" w:rsidP="000C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нормативов. </w:t>
      </w:r>
    </w:p>
    <w:p w:rsidR="000C54C8" w:rsidRDefault="000C54C8" w:rsidP="000C54C8">
      <w:pPr>
        <w:spacing w:after="0"/>
        <w:rPr>
          <w:rFonts w:ascii="Times New Roman" w:hAnsi="Times New Roman"/>
          <w:sz w:val="28"/>
          <w:szCs w:val="28"/>
        </w:rPr>
        <w:sectPr w:rsidR="000C54C8">
          <w:pgSz w:w="11900" w:h="16840"/>
          <w:pgMar w:top="-300" w:right="418" w:bottom="142" w:left="1276" w:header="708" w:footer="266" w:gutter="0"/>
          <w:cols w:space="720"/>
        </w:sectPr>
      </w:pPr>
    </w:p>
    <w:p w:rsidR="000C54C8" w:rsidRDefault="000C54C8" w:rsidP="000C54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Основная часть. Расчетные показатели </w:t>
      </w:r>
      <w:r>
        <w:rPr>
          <w:rFonts w:ascii="Times New Roman" w:hAnsi="Times New Roman"/>
          <w:sz w:val="28"/>
          <w:szCs w:val="28"/>
        </w:rPr>
        <w:br/>
        <w:t xml:space="preserve">минимально допустимого уровня обеспеченности объектами местного значения сельского </w:t>
      </w:r>
      <w:r w:rsidRPr="000C54C8">
        <w:rPr>
          <w:rFonts w:ascii="Times New Roman" w:hAnsi="Times New Roman"/>
          <w:sz w:val="28"/>
          <w:szCs w:val="28"/>
        </w:rPr>
        <w:t xml:space="preserve">поселения Челно-Вершины муниципального района </w:t>
      </w:r>
      <w:proofErr w:type="spellStart"/>
      <w:r w:rsidRPr="000C54C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C54C8">
        <w:rPr>
          <w:rFonts w:ascii="Times New Roman" w:hAnsi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 Челно-Вершины муниципального района </w:t>
      </w:r>
      <w:proofErr w:type="spellStart"/>
      <w:r w:rsidRPr="000C54C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C54C8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0C54C8" w:rsidRDefault="000C54C8" w:rsidP="000C54C8">
      <w:pPr>
        <w:rPr>
          <w:rFonts w:ascii="Times New Roman" w:hAnsi="Times New Roman"/>
          <w:sz w:val="24"/>
          <w:szCs w:val="24"/>
        </w:rPr>
      </w:pPr>
    </w:p>
    <w:p w:rsidR="000C54C8" w:rsidRDefault="000C54C8" w:rsidP="000C54C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0C54C8" w:rsidTr="000C54C8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0C54C8" w:rsidTr="000C54C8">
        <w:trPr>
          <w:trHeight w:val="12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0C54C8" w:rsidTr="000C54C8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0C54C8" w:rsidTr="000C54C8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1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0C54C8" w:rsidTr="000C54C8">
        <w:trPr>
          <w:trHeight w:val="1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0C54C8" w:rsidTr="000C54C8">
        <w:trPr>
          <w:trHeight w:val="1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0C54C8" w:rsidTr="000C54C8">
        <w:trPr>
          <w:trHeight w:val="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0C54C8" w:rsidTr="000C54C8">
        <w:trPr>
          <w:trHeight w:val="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ступени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учащихся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0C54C8" w:rsidTr="000C54C8">
        <w:trPr>
          <w:trHeight w:val="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0C54C8" w:rsidTr="000C54C8">
        <w:trPr>
          <w:trHeight w:val="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0C54C8" w:rsidTr="000C54C8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0C54C8" w:rsidTr="000C54C8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C54C8" w:rsidTr="000C54C8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0C54C8" w:rsidTr="000C54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квадратные метры общей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площади пола на 1 тысячу человек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транспортная доступность,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минуты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</w:tr>
      <w:tr w:rsidR="000C54C8" w:rsidTr="000C54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0C54C8" w:rsidTr="000C54C8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0C54C8" w:rsidTr="000C54C8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отдел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внестационарного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C54C8" w:rsidTr="000C54C8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0C54C8" w:rsidTr="000C54C8">
        <w:trPr>
          <w:trHeight w:val="1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C54C8" w:rsidTr="000C54C8">
        <w:trPr>
          <w:trHeight w:val="1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1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передвижная форма обслуживания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0C54C8" w:rsidTr="000C54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0C54C8" w:rsidTr="000C54C8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0C54C8" w:rsidTr="000C54C8">
        <w:trPr>
          <w:trHeight w:val="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0C54C8" w:rsidRDefault="000C54C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C54C8" w:rsidTr="000C54C8">
        <w:trPr>
          <w:trHeight w:val="8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1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C54C8" w:rsidTr="000C54C8">
        <w:trPr>
          <w:trHeight w:val="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pStyle w:val="a4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жилые районы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pStyle w:val="a4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25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входов</w:t>
            </w:r>
          </w:p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C54C8" w:rsidTr="000C54C8">
        <w:trPr>
          <w:trHeight w:val="1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pStyle w:val="a4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25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1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pStyle w:val="a4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t>15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C54C8" w:rsidTr="000C54C8">
        <w:trPr>
          <w:trHeight w:val="5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C54C8" w:rsidTr="000C54C8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0C54C8" w:rsidTr="000C54C8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C54C8" w:rsidTr="000C54C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 с 1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0C54C8" w:rsidTr="000C54C8">
        <w:trPr>
          <w:trHeight w:val="2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C54C8" w:rsidTr="000C54C8">
        <w:trPr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1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удельные среднесуточные расходы холодной и горячей воды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C54C8" w:rsidTr="000C54C8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зданий с местными (квартирными)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водонагревателями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200, со снижением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 к 2025 году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C54C8" w:rsidTr="000C54C8">
        <w:trPr>
          <w:trHeight w:val="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величина объема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поверхностного стока, кубические метры на 1 гектар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C54C8" w:rsidTr="000C54C8">
        <w:trPr>
          <w:trHeight w:val="2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C54C8" w:rsidTr="000C54C8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и более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C8" w:rsidTr="000C54C8">
        <w:tc>
          <w:tcPr>
            <w:tcW w:w="14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0C54C8" w:rsidTr="000C54C8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0C54C8" w:rsidRDefault="000C54C8" w:rsidP="000C54C8">
      <w:pPr>
        <w:spacing w:after="0"/>
        <w:rPr>
          <w:rFonts w:ascii="Times New Roman" w:hAnsi="Times New Roman"/>
        </w:rPr>
        <w:sectPr w:rsidR="000C54C8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0C54C8" w:rsidRDefault="000C54C8" w:rsidP="000C54C8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Обоснование расчетных показателей, содержащихся в основной части</w:t>
      </w:r>
    </w:p>
    <w:p w:rsidR="000C54C8" w:rsidRDefault="000C54C8" w:rsidP="000C54C8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нормативов</w:t>
      </w:r>
    </w:p>
    <w:p w:rsidR="000C54C8" w:rsidRDefault="000C54C8" w:rsidP="000C54C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54C8" w:rsidRDefault="000C54C8" w:rsidP="000C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не менее предельных значений или равными расчетным показателям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0C54C8" w:rsidRDefault="000C54C8" w:rsidP="000C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</w:t>
      </w:r>
      <w:proofErr w:type="gramStart"/>
      <w:r>
        <w:rPr>
          <w:rFonts w:ascii="Times New Roman" w:hAnsi="Times New Roman"/>
          <w:sz w:val="28"/>
          <w:szCs w:val="28"/>
        </w:rPr>
        <w:t>менее предельных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значений или равными расчетным показателям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0C54C8" w:rsidRDefault="000C54C8" w:rsidP="000C54C8">
      <w:pPr>
        <w:jc w:val="center"/>
        <w:rPr>
          <w:rFonts w:ascii="Times New Roman" w:hAnsi="Times New Roman"/>
          <w:sz w:val="28"/>
          <w:szCs w:val="28"/>
        </w:rPr>
      </w:pPr>
    </w:p>
    <w:p w:rsidR="000C54C8" w:rsidRDefault="000C54C8" w:rsidP="000C54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Правила и область применения расчетных показателей, содержащихся в основной части местных нормативов градостроительного проектирования сельского</w:t>
      </w:r>
    </w:p>
    <w:p w:rsidR="000C54C8" w:rsidRDefault="000C54C8" w:rsidP="000C54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0C54C8">
        <w:rPr>
          <w:rFonts w:ascii="Times New Roman" w:hAnsi="Times New Roman"/>
          <w:sz w:val="28"/>
          <w:szCs w:val="28"/>
        </w:rPr>
        <w:t xml:space="preserve">Челно-Вершины муниципального района </w:t>
      </w:r>
      <w:proofErr w:type="spellStart"/>
      <w:r w:rsidRPr="000C54C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C54C8">
        <w:rPr>
          <w:rFonts w:ascii="Times New Roman" w:hAnsi="Times New Roman"/>
          <w:sz w:val="28"/>
          <w:szCs w:val="28"/>
        </w:rPr>
        <w:t xml:space="preserve"> Самарской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0C54C8" w:rsidRDefault="000C54C8" w:rsidP="000C54C8">
      <w:pPr>
        <w:ind w:firstLine="709"/>
        <w:rPr>
          <w:rFonts w:ascii="Times New Roman" w:hAnsi="Times New Roman"/>
          <w:sz w:val="28"/>
          <w:szCs w:val="28"/>
        </w:rPr>
      </w:pPr>
    </w:p>
    <w:p w:rsidR="000C54C8" w:rsidRDefault="000C54C8" w:rsidP="000C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</w:t>
      </w:r>
      <w:proofErr w:type="gramStart"/>
      <w:r>
        <w:rPr>
          <w:rFonts w:ascii="Times New Roman" w:hAnsi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сельского поселения </w:t>
      </w:r>
      <w:r w:rsidRPr="000C54C8">
        <w:rPr>
          <w:rFonts w:ascii="Times New Roman" w:hAnsi="Times New Roman"/>
          <w:sz w:val="28"/>
          <w:szCs w:val="28"/>
        </w:rPr>
        <w:t xml:space="preserve">Челно-Вершины муниципального района </w:t>
      </w:r>
      <w:proofErr w:type="spellStart"/>
      <w:r w:rsidRPr="000C54C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C54C8">
        <w:rPr>
          <w:rFonts w:ascii="Times New Roman" w:hAnsi="Times New Roman"/>
          <w:sz w:val="28"/>
          <w:szCs w:val="28"/>
        </w:rPr>
        <w:t xml:space="preserve">  Самарской области и расчетные</w:t>
      </w:r>
      <w:r>
        <w:rPr>
          <w:rFonts w:ascii="Times New Roman" w:hAnsi="Times New Roman"/>
          <w:sz w:val="28"/>
          <w:szCs w:val="28"/>
        </w:rPr>
        <w:t xml:space="preserve"> показатели максимально допустимого уровня территориальной </w:t>
      </w:r>
      <w:r w:rsidRPr="000C54C8">
        <w:rPr>
          <w:rFonts w:ascii="Times New Roman" w:hAnsi="Times New Roman"/>
          <w:sz w:val="28"/>
          <w:szCs w:val="28"/>
        </w:rPr>
        <w:t>доступности таких объектов для населения сельского поселения 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установленные в местных нормативах градостроительного проектирования сельского поселения </w:t>
      </w:r>
      <w:r w:rsidRPr="000C54C8">
        <w:rPr>
          <w:rFonts w:ascii="Times New Roman" w:hAnsi="Times New Roman"/>
          <w:sz w:val="28"/>
          <w:szCs w:val="28"/>
        </w:rPr>
        <w:t>Челно-</w:t>
      </w:r>
      <w:r w:rsidRPr="000C54C8">
        <w:rPr>
          <w:rFonts w:ascii="Times New Roman" w:hAnsi="Times New Roman"/>
          <w:sz w:val="28"/>
          <w:szCs w:val="28"/>
        </w:rPr>
        <w:lastRenderedPageBreak/>
        <w:t xml:space="preserve">Вершины муниципального района </w:t>
      </w:r>
      <w:proofErr w:type="spellStart"/>
      <w:r w:rsidRPr="000C54C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C54C8">
        <w:rPr>
          <w:rFonts w:ascii="Times New Roman" w:hAnsi="Times New Roman"/>
          <w:sz w:val="28"/>
          <w:szCs w:val="28"/>
        </w:rPr>
        <w:t xml:space="preserve"> Самарской области (далее</w:t>
      </w:r>
      <w:r>
        <w:rPr>
          <w:rFonts w:ascii="Times New Roman" w:hAnsi="Times New Roman"/>
          <w:sz w:val="28"/>
          <w:szCs w:val="28"/>
        </w:rPr>
        <w:t xml:space="preserve"> также – нормативы) применяются при подготовке:</w:t>
      </w:r>
      <w:proofErr w:type="gramEnd"/>
    </w:p>
    <w:p w:rsidR="000C54C8" w:rsidRPr="000C54C8" w:rsidRDefault="000C54C8" w:rsidP="000C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генерального плана сельского поселения </w:t>
      </w:r>
      <w:r w:rsidRPr="000C54C8">
        <w:rPr>
          <w:rFonts w:ascii="Times New Roman" w:hAnsi="Times New Roman"/>
          <w:sz w:val="28"/>
          <w:szCs w:val="28"/>
        </w:rPr>
        <w:t xml:space="preserve">Челно-Вершины муниципального района </w:t>
      </w:r>
      <w:proofErr w:type="spellStart"/>
      <w:r w:rsidRPr="000C54C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C54C8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0C54C8" w:rsidRDefault="000C54C8" w:rsidP="000C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4C8">
        <w:rPr>
          <w:rFonts w:ascii="Times New Roman" w:hAnsi="Times New Roman"/>
          <w:sz w:val="28"/>
          <w:szCs w:val="28"/>
        </w:rPr>
        <w:t>2)   документации по планировке территории.</w:t>
      </w:r>
    </w:p>
    <w:p w:rsidR="000C54C8" w:rsidRDefault="000C54C8" w:rsidP="000C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0C54C8" w:rsidRDefault="000C54C8" w:rsidP="000C54C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4C8" w:rsidRDefault="000C54C8" w:rsidP="000C54C8">
      <w:pPr>
        <w:spacing w:after="0"/>
        <w:rPr>
          <w:rFonts w:ascii="Times New Roman" w:hAnsi="Times New Roman"/>
        </w:rPr>
        <w:sectPr w:rsidR="000C54C8">
          <w:pgSz w:w="11900" w:h="16840"/>
          <w:pgMar w:top="1134" w:right="560" w:bottom="1134" w:left="1276" w:header="708" w:footer="708" w:gutter="0"/>
          <w:cols w:space="720"/>
        </w:sectPr>
      </w:pPr>
    </w:p>
    <w:p w:rsidR="000C54C8" w:rsidRDefault="000C54C8" w:rsidP="000C54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Таблица. Области применения предельных значений расчетных показателей, </w:t>
      </w:r>
      <w:r>
        <w:rPr>
          <w:rFonts w:ascii="Times New Roman" w:hAnsi="Times New Roman"/>
          <w:sz w:val="28"/>
          <w:szCs w:val="28"/>
        </w:rPr>
        <w:br/>
        <w:t xml:space="preserve">установленных местными нормативами градостроительного проектирования сельского поселения </w:t>
      </w:r>
      <w:r w:rsidRPr="000C54C8">
        <w:rPr>
          <w:rFonts w:ascii="Times New Roman" w:hAnsi="Times New Roman"/>
          <w:sz w:val="28"/>
          <w:szCs w:val="28"/>
        </w:rPr>
        <w:t xml:space="preserve">Челно-Вершины  муниципального района </w:t>
      </w:r>
      <w:proofErr w:type="spellStart"/>
      <w:r w:rsidRPr="000C54C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C54C8">
        <w:rPr>
          <w:rFonts w:ascii="Times New Roman" w:hAnsi="Times New Roman"/>
          <w:sz w:val="28"/>
          <w:szCs w:val="28"/>
        </w:rPr>
        <w:t xml:space="preserve"> Самарской области, для объектов</w:t>
      </w:r>
      <w:r>
        <w:rPr>
          <w:rFonts w:ascii="Times New Roman" w:hAnsi="Times New Roman"/>
          <w:sz w:val="28"/>
          <w:szCs w:val="28"/>
        </w:rPr>
        <w:t xml:space="preserve"> местного значения сельского поселения</w:t>
      </w:r>
    </w:p>
    <w:p w:rsidR="000C54C8" w:rsidRDefault="000C54C8" w:rsidP="000C5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Принятые сокращения:</w:t>
      </w:r>
    </w:p>
    <w:p w:rsidR="000C54C8" w:rsidRDefault="000C54C8" w:rsidP="000C54C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ГП с.п. – генеральный план сельского поселения Самарской области</w:t>
      </w:r>
    </w:p>
    <w:p w:rsidR="000C54C8" w:rsidRDefault="000C54C8" w:rsidP="000C54C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ДПТ – документация по планировке территории</w:t>
      </w:r>
    </w:p>
    <w:p w:rsidR="000C54C8" w:rsidRDefault="000C54C8" w:rsidP="000C54C8">
      <w:pPr>
        <w:jc w:val="both"/>
        <w:rPr>
          <w:rFonts w:ascii="Times New Roman" w:hAnsi="Times New Roman"/>
        </w:rPr>
      </w:pPr>
    </w:p>
    <w:p w:rsidR="000C54C8" w:rsidRDefault="000C54C8" w:rsidP="000C54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8336"/>
        <w:gridCol w:w="3600"/>
        <w:gridCol w:w="1092"/>
        <w:gridCol w:w="1080"/>
      </w:tblGrid>
      <w:tr w:rsidR="000C54C8" w:rsidTr="000C54C8">
        <w:trPr>
          <w:tblHeader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</w:tc>
      </w:tr>
      <w:tr w:rsidR="000C54C8" w:rsidTr="000C54C8">
        <w:trPr>
          <w:tblHeader/>
        </w:trPr>
        <w:tc>
          <w:tcPr>
            <w:tcW w:w="1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0C54C8" w:rsidTr="000C54C8"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1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физкультурно-спортивными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0C54C8" w:rsidTr="000C54C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1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объектами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водоснабжени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величина объема поверхностного стока, кубические метры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 гектар</w:t>
              </w:r>
            </w:smartTag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MS Gothic" w:eastAsia="MS Gothic" w:hAnsi="MS Goth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0C54C8" w:rsidTr="000C54C8">
        <w:tc>
          <w:tcPr>
            <w:tcW w:w="14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0C54C8" w:rsidTr="000C54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C8" w:rsidRDefault="000C54C8" w:rsidP="00C060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C8" w:rsidRDefault="000C5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C8" w:rsidRDefault="000C5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0C54C8" w:rsidRDefault="000C54C8" w:rsidP="000C54C8">
      <w:pPr>
        <w:jc w:val="both"/>
        <w:rPr>
          <w:rFonts w:ascii="Times New Roman" w:hAnsi="Times New Roman"/>
        </w:rPr>
      </w:pPr>
    </w:p>
    <w:p w:rsidR="000C54C8" w:rsidRDefault="000C54C8" w:rsidP="000C54C8"/>
    <w:p w:rsidR="007C148B" w:rsidRDefault="007C148B"/>
    <w:sectPr w:rsidR="007C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4C8"/>
    <w:rsid w:val="000C54C8"/>
    <w:rsid w:val="007C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C8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a4">
    <w:name w:val="Примечание"/>
    <w:basedOn w:val="a"/>
    <w:rsid w:val="000C54C8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2945</Words>
  <Characters>16792</Characters>
  <Application>Microsoft Office Word</Application>
  <DocSecurity>0</DocSecurity>
  <Lines>139</Lines>
  <Paragraphs>39</Paragraphs>
  <ScaleCrop>false</ScaleCrop>
  <Company/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2018-02-13T06:11:00Z</dcterms:created>
  <dcterms:modified xsi:type="dcterms:W3CDTF">2018-02-13T06:12:00Z</dcterms:modified>
</cp:coreProperties>
</file>