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AF" w:rsidRPr="008C16AF" w:rsidRDefault="008C16AF" w:rsidP="008C16AF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C16AF">
        <w:rPr>
          <w:rFonts w:ascii="Arial" w:eastAsia="Times New Roman" w:hAnsi="Arial" w:cs="Arial"/>
          <w:b/>
          <w:bCs/>
          <w:color w:val="004F64"/>
          <w:sz w:val="30"/>
          <w:szCs w:val="30"/>
        </w:rPr>
        <w:t>Экологическое просвещение</w:t>
      </w:r>
      <w:r w:rsidR="001A62B2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населения</w:t>
      </w:r>
    </w:p>
    <w:p w:rsidR="008C16AF" w:rsidRPr="008C16AF" w:rsidRDefault="008C16AF" w:rsidP="008C16AF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Администрация  сельского поселения</w:t>
      </w:r>
      <w:r w:rsidR="00A814EC">
        <w:rPr>
          <w:rFonts w:ascii="Arial" w:eastAsia="Times New Roman" w:hAnsi="Arial" w:cs="Arial"/>
          <w:color w:val="000000"/>
          <w:sz w:val="21"/>
          <w:szCs w:val="21"/>
        </w:rPr>
        <w:t xml:space="preserve"> Челно-Вершины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осу</w:t>
      </w:r>
      <w:r w:rsidR="00A814EC">
        <w:rPr>
          <w:rFonts w:ascii="Arial" w:eastAsia="Times New Roman" w:hAnsi="Arial" w:cs="Arial"/>
          <w:color w:val="000000"/>
          <w:sz w:val="21"/>
          <w:szCs w:val="21"/>
        </w:rPr>
        <w:t>ще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t>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своей деятельности мы пытаемся помочь нашим пользователям в решении следующих вопросов: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• Как защитить свои экологические права?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• Что такое экологические права?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• Право на участие в принятии решений по охране окружающей среды.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• Международные соглашения (сохранение природных ресурсов).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• Право на доступ к экологической информации, включающее в себя: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* понятие экологической информации;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* классификация экологической информации;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>* источники и носители экологической информации;</w:t>
      </w:r>
    </w:p>
    <w:p w:rsidR="008C16AF" w:rsidRPr="008C16AF" w:rsidRDefault="008C16AF" w:rsidP="008C16AF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* ресурсы экологической информации, доступные населению через библиотеки;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  <w:t>* книги, периодические издания на традиционных носителях;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* издания на нетрадиционных носителях;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* информационные ресурсы Интернет;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* неопубликованные документы.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Можно выделить следующие тематические блоки экологической информации: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социальная экология, рассматривающая взаимоотношения общества и природы;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Источниками экологической информации являются: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документы, содержащие философско-теоретическое и научное осмысление концепции устойчивого развития, глобальных экологических проблем;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научные и учебные материалы по экологии, социальной экологии, охране окружающей среды, рациональному природопользованию, экологической безопасности;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научно-методические разработки по организации и осуществлению экологического образования и просвещения населения, по формированию экологической культуры;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 о состоянии окружающей среды и мерах по её охране;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 о различных экологических объектах (естественные экологические системы, природные ландшафты и природные комплексы, не подвергшиеся антропогенному воздействию, объекты, включенные в Список всемирного культурного наследия и Список всемирного природного наследия ЮНЕСКО,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места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 ценное значение, а также редкие или находящиеся под угрозой 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исчезновения почвы, леса и иная растительность, животные и другие организмы и места их обитания и пр.);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документы, отражающие традиционные знания о природе и природопользовании коренных малочисленных народов Российской Федерации;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нормативно-правовые акты, полностью или частично посвященные вопросам экологии;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 о деятельности государственных органов и органов местного самоуправления по вопросам, затрагивающим экологические права граждан;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— документы по 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контролю за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соблюдением нормативов, стандартов, а также по лицензированию и сертификации товаров, работ и услуг;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 о чрезвычайных ситуациях природного и техногенного характера, также террористических актах, повлекших изменение нормального состояния окружающей среды;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 об экологических правонарушениях, преступлениях и мерах по их пресечению и расследованию;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документы с прогнозами возникновения либо дальнейшего развития экологических ситуаций;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кадастры природных ресурсов, экологически важных объектов и веществ, образующихся в результате производства или потребления;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данные экологического мониторинга;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материалы государственного статистического учёта и учёта природных ресурсов (экологического учёта);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регистры и реестры веществ, объектов и сооружений, имеющих экологическую значимость;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— экологические стандарты для предприятий.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связи с динамичным развитием общественных отношений и ростом спроса на информационные услуги в области экологии, охраны окружающей среды, рационального природопользования данный перечень остается открытым.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Документы по экологии на традиционных носителях: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настоящее время более 100 учреждений и организаций РФ выпускают книги, монографии, периодические издания по экологической тематике. По данным РКП (Российской книжной палаты), в стране ежегодно издается более 300 наименований книг и брошюр, посвященных вопросам экологии, экологического мониторинга и рационального природопользования, экологического образования. Общий тираж таких изданий превышает 600 тыс. экз.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помощь экологическому образованию выходят более 40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На территории РФ сформировано и учтено более 1000 фактографических массивов данных по природным ресурсам и экологии. Процесс наращивания количества и объема подобных ресурсов идет весьма динамично. В стране насчитывается более 100 учреждений, имеющих копии или выборки данных о состоянии природной среды, и десятки учреждений целенаправленно занимаются подготовкой данных на электронных носителях. Помимо баз данных получают распространение и автоматизированные справочные системы, особенностью которых является узкая тематическая специализация.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В справочно-правовых системах информация по экологическому праву (международному, федеральному и частично по региональному) составляет неотъемлемую и довольно значительную часть (БД: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«</w:t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КонсультантПлюс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>»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,«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Кодекс», «Референт», «Гарант», «Свод законов российской империи», профессиональная специализированная справочная система «Эксперт: 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Экология»).</w:t>
      </w:r>
      <w:proofErr w:type="gramEnd"/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ДЕЯТЕЛЬНОСТЬ АДМИНИСТРАЦИИ СЕЛЬСКОГО ПОСЕЛЕНИЯ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ЧЕЛНО-ВЕРШИНЫ 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t>ПО ЭКОЛОГИЧЕСКОМУ ПРОСВЕЩЕНИЮ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проводятся месячники, субботники, акции по санитарной очистке территории, посадке деревьев и цветов.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На сайте администрации и стендах на территории поселения размещается информация о введении карантинных периодах, введения пожароопасных и ЧС положениях.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Памятки и информационные материалы о пожарах в лесах, прибрежных полосах размещены в разделе ГО и ЧС.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Информация о проводимых мероприятиях размещается в разделе Новости.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Экологические сайты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Ecocom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— </w:t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всеобэкологии</w:t>
      </w:r>
      <w:proofErr w:type="spellEnd"/>
    </w:p>
    <w:p w:rsidR="008C16AF" w:rsidRPr="008C16AF" w:rsidRDefault="008C16AF" w:rsidP="008C16AF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>http://www.ecocommunity.ru/ 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  <w:t>FacePla.net — экологический дайджест позитивной информации об экологии и технологии</w:t>
      </w:r>
    </w:p>
    <w:p w:rsidR="008C16AF" w:rsidRPr="008C16AF" w:rsidRDefault="008C16AF" w:rsidP="008C16AF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http://facepla.net/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Saveplanet.su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– «Сохраним планету»</w:t>
      </w:r>
    </w:p>
    <w:p w:rsidR="008C16AF" w:rsidRPr="008C16AF" w:rsidRDefault="008C16AF" w:rsidP="008C16AF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http://www.saveplanet.su/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  <w:t>Всемирный фонд дикой природы (WWF)</w:t>
      </w:r>
    </w:p>
    <w:p w:rsidR="008C16AF" w:rsidRPr="008C16AF" w:rsidRDefault="008C16AF" w:rsidP="008C16AF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hyperlink r:id="rId4" w:history="1">
        <w:r w:rsidRPr="008C16AF">
          <w:rPr>
            <w:rFonts w:ascii="Arial" w:eastAsia="Times New Roman" w:hAnsi="Arial" w:cs="Arial"/>
            <w:color w:val="004F64"/>
            <w:sz w:val="21"/>
            <w:u w:val="single"/>
          </w:rPr>
          <w:t>http://wwf.panda.org/</w:t>
        </w:r>
      </w:hyperlink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Гринпис России</w:t>
      </w:r>
    </w:p>
    <w:p w:rsidR="008C16AF" w:rsidRPr="008C16AF" w:rsidRDefault="008C16AF" w:rsidP="008C16AF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http://www.greenpeace.org/russia/ru/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Министерство природных ресурсов России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http://www.mnr.gov.ru/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систему правовой охраны природы России входят четыре группы юридических мероприятий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1) правовое регулирование отношений по использованию, сохранению и возобновлению природных ресурсов;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2) организация воспитания и обучения кадров, финансирование и материально-техническое обеспечение природоохранных действий;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3) государственный и общественный 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выполнением требований охраны природы;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4) юридическая ответственность правонарушителей.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соответствии с экологическим законодательством объектом правовой охраны выступает природная среда — объективная, существующая вне человека и независимо от его сознания реальность, служащая местом обитания, условием и средством его существования.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Источниками экологического права признаются нормативно-правовые акты, в которых содержатся правовые нормы, регулирующие экологические отношения. К ним относятся законы, указы, постановления и распоряжения, нормативные акты министерств и ведомств, законы и нормативно-правовые акты субъектов Федерации. Наконец, в числе источников экологического права большое место занимают международно-правовые акты, регулирующие внутренние экологические отношения на основе примата международного права.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результате последней кодификации сложилась система экологического законодательства, в основе которой находятся три основополагающих нормативных акта: Декларация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П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>ервого съезда народных депутатов РСФСР о государственном суверенитете Российской Советской Федеративной Социалистической Республики (1990 г.), Декларация прав и свобод человека и гражданина (1991 г.) и Конституция Российской Федерации, принятая в результате всенародного голосования 12 декабря 1993 г.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Система экологического законодательства, руководствующаяся идеями основополагающих конституционных актов, включает две подсистемы: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природоохранное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природоресурсное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законодательство.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В подсистему </w:t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природоресурсного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законодательства входят: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Земельный кодекс РФ (ФЗ № 136 от 25.10.2001 г.),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Закон РФ от 21 февраля 1992 г. № 2395-1 «О недрах»,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Лесной кодекс РФ (ФЗ № 200 от 04.12.2006 г.),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Водный кодекс Р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Ф(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ФЗ № 74 от 03.06.2006 г.),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Федеральный закон от 24 апреля 1995 г. № 52-ФЗ «О животном мире», а также другие законодательные и нормативные акты субъектов РФ.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Первая касается биологических начал человека, вторая — его материальных основ существования.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В 16 главах Закона закрепляются следующие правовые положения: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·основы управления в области охраны окружающей среды;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·экономическое регулирование в области охраны окружающей среды;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·нормирование в области охраны окружающей среды;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·оценка воздействия на окружающую среду и экологическая экспертиза;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·требования в области охраны окружающей среды при осуществлении хозяйственной деятельности;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·зоны экологического бедствия, зоны чрезвычайных ситуаций;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·государственный мониторинг окружающей среды (государственный экологический мониторинг);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·контроль в области охраны окружающей среды (экологический контроль);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·научные исследования в области охраны окружающей среды;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·основы формирования экологической культуры;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·международное сотрудничество в области охраны окружающей среды.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ст. 18 Закона о захоронении, переработке, обезвреживании и утилизации производственных и бытовых отходов и т. д.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>имеет право на охрану здоровья. Право на охрану здоровья обеспечивается охраной окружающей среды…»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природоресурсного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законодательства России. К ним относятся Лесной кодекс РФ, Водный кодекс РФ, Федеральный закон «О животном мире» и др.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Круг экологических вопросов, по которым могут издаваться указы и распоряжения Президента РФ, практически не ограничен. В их числе следует назвать Указ Президента РФ от 4 февраля 1994 г. № 238 «О государственной стратегии Российской Федерации по охране окружающей среды и обеспечению устойчивого развития».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Постановления Правительства РФ по вопросам экологии можно разбить на три группы.</w:t>
      </w:r>
    </w:p>
    <w:p w:rsidR="008C16AF" w:rsidRPr="008C16AF" w:rsidRDefault="008C16AF" w:rsidP="008C16AF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·К первой группе относятся те, которые принимаются во исполнение закона для конкретизации отдельных положений.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  <w:t>·Вторая группа постановлений предназначена для определения компетенции органов управления и контроля.</w:t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  <w:t>·Третья группа постановлений включает нормативно-правовые акты дальнейшего правового регулирования экологических отношений.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 Согласно Конституции РФ субъекты Федерации также вправе принимать законы и иные нормативные правовые акты по вопросам, отнесенным к их ведению. Нормотворческой деятельностью вправе заниматься представительные и исполнительные органы власти республик, краев, областей, автономных образований, городов Москвы и Санкт-Петербурга, Севастополя. 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экологизация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экологизацией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8C16AF" w:rsidRPr="008C16AF" w:rsidRDefault="008C16AF" w:rsidP="008C16AF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Так, Закон РФ от 7 февраля 1992 г. № 2300-1 «О защите прав потребителей» (ст. 7) дает право потребителю требовать, чтобы товары были безопасны для его жизни. Он также дает право органам управления на приостановление реализации товаров, если создается угроза здоровью 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граждан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либо состоянию окружающей среды. В законах о местном самоуправлении, налогообложении юридических лиц отражены различные льготы за снижение выбросов, использование чистых технологий и т. д.</w:t>
      </w:r>
    </w:p>
    <w:p w:rsidR="008C16AF" w:rsidRPr="008C16AF" w:rsidRDefault="008C16AF" w:rsidP="008C16AF">
      <w:pPr>
        <w:shd w:val="clear" w:color="auto" w:fill="FFFFFF"/>
        <w:spacing w:after="24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Берегите природу и ее </w:t>
      </w:r>
      <w:proofErr w:type="spellStart"/>
      <w:r w:rsidRPr="008C16AF">
        <w:rPr>
          <w:rFonts w:ascii="Arial" w:eastAsia="Times New Roman" w:hAnsi="Arial" w:cs="Arial"/>
          <w:color w:val="000000"/>
          <w:sz w:val="21"/>
          <w:szCs w:val="21"/>
        </w:rPr>
        <w:t>экологичексое</w:t>
      </w:r>
      <w:proofErr w:type="spellEnd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состояние</w:t>
      </w:r>
      <w:proofErr w:type="gramStart"/>
      <w:r w:rsidRPr="008C16AF">
        <w:rPr>
          <w:rFonts w:ascii="Arial" w:eastAsia="Times New Roman" w:hAnsi="Arial" w:cs="Arial"/>
          <w:color w:val="000000"/>
          <w:sz w:val="21"/>
          <w:szCs w:val="21"/>
        </w:rPr>
        <w:t xml:space="preserve"> !</w:t>
      </w:r>
      <w:proofErr w:type="gramEnd"/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C16AF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77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382"/>
        <w:gridCol w:w="10318"/>
      </w:tblGrid>
      <w:tr w:rsidR="008C16AF" w:rsidRPr="008C16AF" w:rsidTr="008C16AF">
        <w:trPr>
          <w:tblCellSpacing w:w="15" w:type="dxa"/>
        </w:trPr>
        <w:tc>
          <w:tcPr>
            <w:tcW w:w="5250" w:type="dxa"/>
            <w:tcBorders>
              <w:right w:val="single" w:sz="6" w:space="0" w:color="FFFFFF"/>
            </w:tcBorders>
            <w:hideMark/>
          </w:tcPr>
          <w:p w:rsidR="008C16AF" w:rsidRPr="008C16AF" w:rsidRDefault="008C16AF" w:rsidP="008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© Официальный сайт Администрации Новопетровского сельского поселения </w:t>
            </w:r>
          </w:p>
          <w:p w:rsidR="008C16AF" w:rsidRPr="008C16AF" w:rsidRDefault="008C16AF" w:rsidP="008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C16AF" w:rsidRPr="008C16AF" w:rsidRDefault="008C16AF" w:rsidP="008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При использовании материалов</w:t>
            </w:r>
            <w:r w:rsidRPr="008C1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C16AF" w:rsidRPr="008C16AF" w:rsidRDefault="008C16AF" w:rsidP="008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ссылка на сайт - обязательна!</w:t>
            </w:r>
          </w:p>
          <w:p w:rsidR="008C16AF" w:rsidRPr="008C16AF" w:rsidRDefault="008C16AF" w:rsidP="008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  <w:p w:rsidR="008C16AF" w:rsidRPr="008C16AF" w:rsidRDefault="008C16AF" w:rsidP="008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838200" cy="295275"/>
                  <wp:effectExtent l="19050" t="0" r="0" b="0"/>
                  <wp:docPr id="1" name="Рисунок 1" descr="Счетчик Спутника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четчик Спутника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6AF" w:rsidRPr="008C16AF" w:rsidRDefault="008C16AF" w:rsidP="008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838200" cy="295275"/>
                  <wp:effectExtent l="19050" t="0" r="0" b="0"/>
                  <wp:docPr id="2" name="Рисунок 2" descr="Яндекс.Метрика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ндекс.Метрика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tcBorders>
              <w:right w:val="single" w:sz="6" w:space="0" w:color="FFFFFF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C16AF" w:rsidRPr="008C16AF" w:rsidRDefault="008C16AF" w:rsidP="008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C16A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Телефон: +7-86191-3-05-36</w:t>
            </w:r>
          </w:p>
        </w:tc>
      </w:tr>
    </w:tbl>
    <w:p w:rsidR="006E63E8" w:rsidRDefault="006E63E8"/>
    <w:sectPr w:rsidR="006E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6AF"/>
    <w:rsid w:val="001A62B2"/>
    <w:rsid w:val="006E63E8"/>
    <w:rsid w:val="008C16AF"/>
    <w:rsid w:val="00A8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6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16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1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metrika.yandex.ru/stat/?id=25277951&amp;from=inform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nt.sputnik.ru/public/novopetrovskoes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f.panda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3204</Words>
  <Characters>18269</Characters>
  <Application>Microsoft Office Word</Application>
  <DocSecurity>0</DocSecurity>
  <Lines>152</Lines>
  <Paragraphs>42</Paragraphs>
  <ScaleCrop>false</ScaleCrop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2019-07-15T09:09:00Z</dcterms:created>
  <dcterms:modified xsi:type="dcterms:W3CDTF">2019-07-15T09:12:00Z</dcterms:modified>
</cp:coreProperties>
</file>